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100" w:after="100"/>
        <w:jc w:val="center"/>
      </w:pPr>
      <w:r>
        <w:rPr>
          <w:rFonts w:ascii="Times New Roman" w:hAnsi="宋体" w:cs="宋体" w:eastAsia="宋体"/>
          <w:b w:val="true"/>
          <w:color w:val="000000"/>
          <w:sz w:val="24"/>
        </w:rPr>
        <w:t>深市主板上市公司2024年三季报主要财务指标</w:t>
      </w:r>
    </w:p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深圳证券信息有限公司制作                                               截至日期：2024-10-22</w:t>
      </w:r>
    </w:p>
    <w:tbl>
      <w:tblPr>
        <w:tblW w:w="9072" w:type="dxa"/>
        <w:jc w:val="center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Borders>
          <w:top w:val="single" w:sz="15" w:color="000000"/>
          <w:left w:val="single" w:sz="15" w:color="000000"/>
          <w:bottom w:val="single" w:sz="15" w:color="000000"/>
          <w:right w:val="single" w:sz="15" w:color="000000"/>
          <w:insideH w:val="single" w:sz="15" w:color="000000"/>
          <w:insideV w:val="single" w:sz="15" w:color="000000"/>
        </w:tblBorders>
      </w:tblP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股票代码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股票简称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净利润（万元）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每股收益（元）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每股经营性现金流量（元）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分配预案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平安银行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3972900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-188925.92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-2.1373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中兴通讯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790640.3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西安旅游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-8684.01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钒钛股份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18323.17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中兴商业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5525.88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西安饮食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-8863.1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普洛药业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86965.24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通化金马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2392.37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新洋丰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111277.73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353838.5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山金国际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172738.16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19975.65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坤泰股份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4106.14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平安电工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16372.35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海森药业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8695.01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科华生物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-12214.07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孚日股份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33653.79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梦网科技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3043.81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 聚 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7045.16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中天服务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科大讯飞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-34370.42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拓维信息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1101.32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万马股份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25482.11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信立泰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50971.42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西部建设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海大集团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362382.32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4.6965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英威腾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15282.8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天娱数科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科远智慧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15860.24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双塔食品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6294.02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齐峰新材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10643.35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26664.34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金新农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2787.06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千红制药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30958.52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史丹利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66425.32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三峡旅游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11193.93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道明光学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14398.57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卫星化学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369274.31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物产金轮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11337.23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11197.26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鹭燕医药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25734.68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1809.54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黄山胶囊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高争民爆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11087.35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6602.28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道道全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11146.95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6.2210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28195.96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中欣氟材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-4299.47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森麒麟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172574.3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瑞鹄模具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25257.49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优彩资源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9700.42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23852.07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开普检测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5597.76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日久光电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5632.79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大洋生物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5126.58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</w:tbl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更多数据可登陆http://webapi.cninfo.com.cn/获取，谢谢！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2024-10-22T01:10:01Z</dcterms:created>
  <dc:creator>Apache POI</dc:creator>
</cp:coreProperties>
</file>